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03:00 МСК · База обновлена: 22.08.2026, 03:20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 в возрасте 7 лет доставлен бригадой «Скорой помощи» в отделение интенсивной терапии в тяжелом состоянии, без сознания.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Ребенок часто болеет острыми респираторными инфекциями. В последние 3-4 дня, на фоне заболевания ветряной оспой, состояние ребенка резко ухудшилось: появились полиурия, тошнота, переходящая в повторную рвоту, боли в животе, фруктовый запах изо рта, сонливость, резкая заторможенность. Мама вызвала бригаду «Скорой помощи».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Ребенок от 2-й беременности, протекавшей с нефропатией, 2 срочных родов (1-я беременность – сестра 15 лет, здорова). Мать страдает ожирением. Масса тела при рождении 4200 г, длина 54 см. Раннее развитие без особенностей. Вакцинопрофилактика по графику.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Состояние очень тяжелое. Мальчик без сознания. Дыхание шумное (Куссмауля). Кожные и ахилловы рефлексы снижены. Кожа сухая, тургор тканей и тонус глазных яблок снижен, черты лица заострены, выражена гиперемия кожи в области щек и скуловых дуг. Пульс до 150 уд/мин. АД 70/40 мм рт.ст. Язык обложен белым налетом. Запах ацетона изо рта. Живот при пальпации напряжен. Мочеиспускание обильное.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У ребенка на основании анамнеза и клинических данных можно предположить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тиреотоксическую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диабетическую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уремическую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печеночную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диабетическую</w:t>
      </w:r>
    </w:p>
    <w:p>
      <w:pPr>
        <w:spacing w:after="58"/>
      </w:pPr>
      <w:r>
        <w:rPr>
          <w:b w:val="0"/>
          <w:i w:val="0"/>
        </w:rPr>
        <w:t>Абдоминальный синдром в период развития диабетического кетоацидоза характеризуется клиникой острого поражения органов брюшной полости. Развитие синдрома, как правило, протекает бурно и нередко служит поводом для госпитализации с ошибочным диагнозом «острый живот». При этом кроме типичных симптомов начинающегося коматозного состояния отмечаются тошнота, рвота, боли в животе, напряжение мышц передней брюшной стенки. Эти симптомы чаще наблюдаются в начале развития диабетического кетоацидоза.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Сахарный диабет можно заподозрить по наличию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частых ОРВИ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ожирения у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ветряной оспы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полиурии</w:t>
      </w:r>
    </w:p>
    <w:p>
      <w:pPr>
        <w:spacing w:after="58"/>
      </w:pPr>
      <w:r>
        <w:rPr>
          <w:b w:val="0"/>
          <w:i w:val="0"/>
        </w:rPr>
        <w:t>Характерными для СД1 жалобами в дебюте заболевания являются жажда, учащенное мочеиспускание с явлениями ночного и дневного недержания мочи у детей раннего возраста, снижение массы тела или необъяснимое отсутствие прибавки массы тела (у детей грудного возраста), слабость, утомляемость, повторяющиеся кожные инфекции, воспалительные заболевания наружных половых органов.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гипергликемического варианта комы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дыхание Чейн-Стокса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тахипноэ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апное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дыхание Куссмауля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дыхание Куссмауля</w:t>
      </w:r>
    </w:p>
    <w:p>
      <w:pPr>
        <w:spacing w:after="58"/>
      </w:pPr>
      <w:r>
        <w:rPr>
          <w:b w:val="0"/>
          <w:i w:val="0"/>
        </w:rPr>
        <w:t>Клиническая картина диабетического кетоацидоза. Полиурия, жажда, признаки дегидратации и гиповолемии (снижение АД, возможна олиго- и анурия), слабость, отсутствие аппетита, тошнота, рвота, запах ацетона в выдыхаемом воздухе, головная боль, одышка, в терминальном состоянии дыхание Куссмауля, нарушения сознания – от сонливости, заторможенности до комы.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Провоцирующим фактором развития комы у данного ребенка следует считать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голодание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ветряную оспу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респираторную инфекцию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сладких фруктов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ветряную оспу</w:t>
      </w:r>
    </w:p>
    <w:p>
      <w:pPr>
        <w:spacing w:after="58"/>
      </w:pPr>
      <w:r>
        <w:rPr>
          <w:b w:val="0"/>
          <w:i w:val="0"/>
        </w:rPr>
        <w:t>Провоцирующие факторы:</w:t>
      </w:r>
    </w:p>
    <w:p>
      <w:pPr>
        <w:spacing w:after="58"/>
      </w:pPr>
      <w:r>
        <w:rPr>
          <w:b w:val="0"/>
          <w:i w:val="0"/>
        </w:rPr>
        <w:t>интеркуррентные заболевания, операции и травмы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подтверждения диагноза гипергликемической комы необходимо исследовать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иммунограмму сыворотки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копрограмму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КЩС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микробиологическое исследование кала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биохимический анализ крови</w:t>
      </w:r>
      <w:r>
        <w:br/>
      </w:r>
      <w:r>
        <w:rPr>
          <w:b/>
          <w:i w:val="0"/>
        </w:rPr>
        <w:t>2 - общий анализ мочи</w:t>
      </w:r>
      <w:r>
        <w:br/>
      </w:r>
      <w:r>
        <w:rPr>
          <w:b/>
          <w:i w:val="0"/>
        </w:rPr>
        <w:t>5 - КЩС</w:t>
      </w:r>
    </w:p>
    <w:p>
      <w:pPr>
        <w:spacing w:after="58"/>
      </w:pPr>
      <w:r>
        <w:rPr>
          <w:b w:val="0"/>
          <w:i w:val="0"/>
        </w:rPr>
        <w:t>Биохимическими критериями диагностики диабетического кетоацидоза (ДКА) являются:</w:t>
      </w:r>
    </w:p>
    <w:p>
      <w:pPr>
        <w:spacing w:after="58"/>
      </w:pPr>
      <w:r>
        <w:rPr>
          <w:b w:val="0"/>
          <w:i w:val="0"/>
        </w:rPr>
        <w:t>* Гипергликемия (уровень глюкозы в крови&gt; 11 ммоль /л),</w:t>
      </w:r>
    </w:p>
    <w:p>
      <w:pPr>
        <w:spacing w:after="58"/>
      </w:pPr>
      <w:r>
        <w:rPr>
          <w:b w:val="0"/>
          <w:i w:val="0"/>
        </w:rPr>
        <w:t>* рН &lt;7,3 в венозной крови или бикарбонат сыворотки &lt;15 ммоль /л,</w:t>
      </w:r>
    </w:p>
    <w:p>
      <w:pPr>
        <w:spacing w:after="58"/>
      </w:pPr>
      <w:r>
        <w:rPr>
          <w:b w:val="0"/>
          <w:i w:val="0"/>
        </w:rPr>
        <w:t>* Кетонемия (бета-гидроксибутрат в крови ≥3 ммоль /л) или умеренная или значительная кетонурия (≥2+).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Рекомендуется обнаружение кетоновых тел в крови и моче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r>
        <w:rPr>
          <w:b w:val="0"/>
          <w:i w:val="0"/>
        </w:rPr>
        <w:t>Биохимическими критериями диагностики ДКА являются:</w:t>
      </w:r>
    </w:p>
    <w:p>
      <w:pPr>
        <w:spacing w:after="58"/>
      </w:pPr>
      <w:r>
        <w:rPr>
          <w:b w:val="0"/>
          <w:i w:val="0"/>
        </w:rPr>
        <w:t>* Гипергликемия (уровень глюкозы в крови&gt; 11 ммоль /л),</w:t>
      </w:r>
    </w:p>
    <w:p>
      <w:pPr>
        <w:spacing w:after="58"/>
      </w:pPr>
      <w:r>
        <w:rPr>
          <w:b w:val="0"/>
          <w:i w:val="0"/>
        </w:rPr>
        <w:t>* рН &lt;7,3 в венозной крови или бикарбонат сыворотки &lt;15 ммоль /л,</w:t>
      </w:r>
    </w:p>
    <w:p>
      <w:pPr>
        <w:spacing w:after="58"/>
      </w:pPr>
      <w:r>
        <w:rPr>
          <w:b w:val="0"/>
          <w:i w:val="0"/>
        </w:rPr>
        <w:t>* Кетонемия (бета-гидроксибутрат в крови ≥3 ммоль /л) или умеренная или значительная кетонурия (≥2+).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На основании клинического состояния и лабораторных анализов у ребенка можно определить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степень диабетического кетоацидоза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умеренную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вариабельную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тяжелую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умеренную</w:t>
      </w:r>
    </w:p>
    <w:p>
      <w:pPr>
        <w:spacing w:after="58"/>
      </w:pPr>
      <w:r>
        <w:rPr>
          <w:b w:val="0"/>
          <w:i w:val="0"/>
        </w:rPr>
        <w:t>Согласно критериям степени тяжести, показатели данного ребенка в большей степени соответствуют тяжелому течению</w:t>
      </w:r>
    </w:p>
    <w:p>
      <w:pPr>
        <w:spacing w:after="58"/>
      </w:pPr>
      <w:r>
        <w:rPr>
          <w:b w:val="0"/>
          <w:i w:val="0"/>
        </w:rPr>
        <w:t>Классификация ДКА по степени тяжести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30"/>
        <w:gridCol w:w="2530"/>
        <w:gridCol w:w="2530"/>
        <w:gridCol w:w="2530"/>
      </w:tblGrid>
      <w:tr>
        <w:trPr>
          <w:tblHeader w:val="true"/>
        </w:trPr>
        <w:tc>
          <w:tcPr>
            <w:tcW w:type="dxa" w:w="2530"/>
          </w:tcPr>
          <w:p>
            <w:r>
              <w:rPr>
                <w:b/>
                <w:i w:val="0"/>
              </w:rPr>
              <w:t>Показатели 3+</w:t>
            </w:r>
            <w:r>
              <w:rPr>
                <w:b/>
                <w:i w:val="0"/>
                <w:vertAlign w:val="superscript"/>
              </w:rPr>
              <w:t>.</w:t>
            </w:r>
            <w:r>
              <w:rPr>
                <w:b/>
                <w:i w:val="0"/>
              </w:rPr>
              <w:t>h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Степень тяжести ДКА</w:t>
              <w:br/>
            </w:r>
            <w:r>
              <w:rPr>
                <w:b/>
                <w:i w:val="0"/>
                <w:vertAlign w:val="superscript"/>
              </w:rPr>
              <w:t>.</w:t>
            </w:r>
            <w:r>
              <w:rPr>
                <w:b/>
                <w:i w:val="0"/>
              </w:rPr>
              <w:t>h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легкая</w:t>
            </w:r>
          </w:p>
        </w:tc>
        <w:tc>
          <w:tcPr>
            <w:tcW w:type="dxa" w:w="2530"/>
          </w:tcPr>
          <w:p>
            <w:r>
              <w:rPr>
                <w:b/>
                <w:i w:val="0"/>
              </w:rPr>
              <w:t>умеренная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тяжелая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Глюкоза плазмы,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&gt;11,1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&gt;11,1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&gt;11,1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Калий плазмы до начала лечения,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&gt;3.5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&gt;3.5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&lt;3.5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рН артериальной кровиfootnote:[Если рН определяется в капиллярной или венозной крови, следует учесть, что он на 0.05–0.1 ниже, чем в артериальной.]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7.25–7.3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7.0–7.24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&lt;7.0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Бикарбонат плазмы,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15–18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10–&lt;15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&lt;10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Кетоновые тела в моче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++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++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+++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Кетоновые тела сыворотки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↑↑</w:t>
              <w:br/>
              <w:br/>
              <w:t>β-гидроксибутират</w:t>
              <w:br/>
              <w:br/>
              <w:t>3.0–6.0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↑↑</w:t>
              <w:br/>
              <w:br/>
              <w:t>β-гидроксибутират</w:t>
              <w:br/>
              <w:br/>
              <w:t>3.0–6.0 ммоль/л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↑↑↑ β-гидроксибутират</w:t>
              <w:br/>
              <w:br/>
              <w:t>&gt;6.0 ммоль/л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Эффективная осмолярность плазмыfootnote:[Осмолярность плазмы = 2 (Na</w:t>
            </w:r>
            <w:r>
              <w:rPr>
                <w:b w:val="0"/>
                <w:i w:val="0"/>
                <w:vertAlign w:val="superscript"/>
              </w:rPr>
              <w:t>+</w:t>
            </w:r>
            <w:r>
              <w:rPr>
                <w:b w:val="0"/>
                <w:i w:val="0"/>
              </w:rPr>
              <w:t>, ммоль/л + К</w:t>
            </w:r>
            <w:r>
              <w:rPr>
                <w:b w:val="0"/>
                <w:i w:val="0"/>
                <w:vertAlign w:val="superscript"/>
              </w:rPr>
              <w:t>+</w:t>
            </w:r>
            <w:r>
              <w:rPr>
                <w:b w:val="0"/>
                <w:i w:val="0"/>
              </w:rPr>
              <w:t>, ммоль/л) + глюкоза, ммоль/л (норма 285-295 мосмоль/л).]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Вариабельна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Вариабельна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Вариабельна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Анионная разница, ммоль/лfootnote:[Анионная разница = (Na</w:t>
            </w:r>
            <w:r>
              <w:rPr>
                <w:b w:val="0"/>
                <w:i w:val="0"/>
                <w:vertAlign w:val="superscript"/>
              </w:rPr>
              <w:t>+</w:t>
            </w:r>
            <w:r>
              <w:rPr>
                <w:b w:val="0"/>
                <w:i w:val="0"/>
              </w:rPr>
              <w:t>) – (Cl– + HCO3</w:t>
            </w:r>
            <w:r>
              <w:rPr>
                <w:b w:val="0"/>
                <w:i w:val="0"/>
                <w:vertAlign w:val="superscript"/>
              </w:rPr>
              <w:t>–</w:t>
            </w:r>
            <w:r>
              <w:rPr>
                <w:b w:val="0"/>
                <w:i w:val="0"/>
              </w:rPr>
              <w:t>) (ммоль/л).]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10–12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&gt;12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&gt;12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САД, мм рт.ст.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&gt;90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&gt;90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&lt;90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ЧСС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60–100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60–100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&lt;60 или &gt;100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Нарушение сознания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2530"/>
          </w:tcPr>
          <w:p>
            <w:r>
              <w:rPr>
                <w:b w:val="0"/>
                <w:i w:val="0"/>
              </w:rPr>
              <w:t>Нет или сонливость</w:t>
            </w:r>
          </w:p>
        </w:tc>
      </w:tr>
      <w:tr>
        <w:tc>
          <w:tcPr>
            <w:tcW w:type="dxa" w:w="2530"/>
          </w:tcPr>
          <w:p>
            <w:r>
              <w:rPr>
                <w:b w:val="0"/>
                <w:i w:val="0"/>
              </w:rPr>
              <w:t>Сопор или кома</w:t>
            </w:r>
          </w:p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  <w:tc>
          <w:tcPr>
            <w:tcW w:type="dxa" w:w="2530"/>
          </w:tcPr>
          <w:p/>
        </w:tc>
      </w:tr>
    </w:tbl>
    <w:p/>
    <w:p>
      <w:pPr>
        <w:spacing w:after="58"/>
      </w:pPr>
      <w:hyperlink r:id="rId26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Тяжесть ДКА определяется по степени ацидоза:</w:t>
      </w:r>
    </w:p>
    <w:p>
      <w:pPr>
        <w:spacing w:after="58"/>
      </w:pPr>
      <w:r>
        <w:rPr>
          <w:b w:val="0"/>
          <w:i w:val="0"/>
        </w:rPr>
        <w:t xml:space="preserve">* Легкий: pH &lt;7,3 в венозной крови или бикарбонат сыворотки &lt;18 ммоль/л; </w:t>
        <w:br/>
        <w:t xml:space="preserve">* Умеренный: pH &lt;7,2 в венозной крови, бикарбонат сыворотки &lt;10 ммоль/л; </w:t>
        <w:br/>
        <w:t>* Тяжелый: pH &lt;7,1 в венозной крови, бикарбонат сыворотки &lt;5 ммоль/л.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диабетического кетоацидоза включает регидратацию, устранение электролитных нарушений и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маннитола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фуросемида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инсулина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инсулина</w:t>
      </w:r>
    </w:p>
    <w:p>
      <w:pPr>
        <w:spacing w:after="58"/>
      </w:pPr>
      <w:r>
        <w:rPr>
          <w:b w:val="0"/>
          <w:i w:val="0"/>
        </w:rPr>
        <w:t>Лечение ДКА включает: регидратацию, введение инсулина и его аналогов, устранение электролитных нарушений, борьбу с ацидозом, общие мероприятия, лечение состояний, вызвавших ДКА.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У пациентов с диабетическим кетоацидозом после начала инфузионной терапии рекомендуется введение инсулинов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действия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короткого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длинного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среднего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короткого</w:t>
      </w:r>
    </w:p>
    <w:p>
      <w:pPr>
        <w:spacing w:after="58"/>
      </w:pPr>
      <w:r>
        <w:rPr>
          <w:b w:val="0"/>
          <w:i w:val="0"/>
        </w:rPr>
        <w:t>Рекомендуется у пациентов с ДКА после начала инфузионной терапии введение инсулинов короткого действия или их аналогов для инъекционного введения в дозе 0,05-0,1 ЕД/кг/час для коррекции гипергликемии и ацидоза.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Стартовым раствором для регидратации при диабетическом кетоацидозе обычно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р-р Рингера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10% р-р 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физраствор (0.9% NaCl)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20% р-р глюкозы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физраствор (0.9% NaCl)</w:t>
      </w:r>
    </w:p>
    <w:p>
      <w:pPr>
        <w:spacing w:after="58"/>
      </w:pPr>
      <w:r>
        <w:rPr>
          <w:b w:val="0"/>
          <w:i w:val="0"/>
        </w:rPr>
        <w:t>Основными инфузионными растворами являются кристаллоиды. Коллоидные среды применяются исключительно по показаниям.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Растворы:</w:t>
      </w:r>
    </w:p>
    <w:p>
      <w:pPr>
        <w:spacing w:after="58"/>
      </w:pPr>
      <w:r>
        <w:rPr>
          <w:b w:val="0"/>
          <w:i w:val="0"/>
        </w:rPr>
        <w:t>* 0,9% раствор NaCl (при уровне скорректированного Na+ плазмы &lt; 145 ммоль/л; при более высоком Na+ – см. раздел 8.2).</w:t>
        <w:br/>
        <w:t>* При уровне ГП ≤ 13 ммоль/л: 5–10% раствор глюкозы (+ 3–4 ед ИКД на каждые 20 г глюкозы).</w:t>
        <w:br/>
        <w:t>* Коллоидные плазмозаменители (при гиповолемии – систолическое АД ниже 80 мм рт.ст. или ЦВД ниже 4 мм водн.ст.).</w:t>
        <w:br/>
        <w:t>* Преимущества кристаллоидных растворов (Рингера, Рингера-Локка и др.) перед 0,9% раствором NaCl, при ДКА не доказаны.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коррекции электролитных нарушений при диабетическом кетоацидозе рекомендуется введение растворов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плазмы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калия</w:t>
      </w:r>
    </w:p>
    <w:p>
      <w:pPr>
        <w:spacing w:after="58"/>
      </w:pPr>
      <w:r>
        <w:rPr>
          <w:b w:val="0"/>
          <w:i w:val="0"/>
        </w:rPr>
        <w:t>Рекомендуется у пациентов с ДКА, в отсутствии гиперкалиемии, введение растворов калия.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диабетическом кетоацидозе введение бикарбоната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при гипогликемии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необходимо при отеке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рекомендовано для подростков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рекомендуется</w:t>
      </w:r>
    </w:p>
    <w:p>
      <w:pPr>
        <w:spacing w:after="58"/>
      </w:pPr>
      <w:r>
        <w:rPr>
          <w:b w:val="0"/>
          <w:i w:val="0"/>
        </w:rPr>
        <w:t>Не рекомендуется у пациентов с ДКА введение бикарбонатов, за исключением случаев жизнеугрожающей гиперкалиемии или нетипично тяжелого кетоацидоза (рН&lt;6,9) с признаками нарушения сердечной сократимости, для профилактики развития гипокалиемии и пародоксального ацидоза в ЦНС.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Сахарный диабет 1 типа у детей, 2025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Противопоказанием для вакцинации пациентов с сахарным диабетом 1 типа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острых осложнений сахарного диабета (диабетический кетоацидоз, гиперосмолярное гипергликемическое состояние, лактатацидоз)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диабетической нефропатии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диабетической ретинопатии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сахарного диабета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острых осложнений сахарного диабета (диабетический кетоацидоз, гиперосмолярное гипергликемическое состояние, лактатацидоз)</w:t>
      </w:r>
    </w:p>
    <w:p>
      <w:pPr>
        <w:spacing w:after="58"/>
      </w:pPr>
      <w:r>
        <w:rPr>
          <w:b w:val="0"/>
          <w:i w:val="0"/>
        </w:rPr>
        <w:t>Дополнительные противопоказания к вакцинации пациентов с СД:</w:t>
      </w:r>
    </w:p>
    <w:p>
      <w:pPr>
        <w:spacing w:after="58"/>
      </w:pPr>
      <w:r>
        <w:rPr>
          <w:b w:val="0"/>
          <w:i w:val="0"/>
        </w:rPr>
        <w:t>* острые осложнения СД (диабетический кетоацидоз, гиперосмолярное гипергликемическое состояние, лактатацидоз).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87_3/" TargetMode="External"/><Relationship Id="rId21" Type="http://schemas.openxmlformats.org/officeDocument/2006/relationships/hyperlink" Target="https://library.mededtech.ru/rest/documents/KP287_3/#paragraph_hu93sj" TargetMode="External"/><Relationship Id="rId22" Type="http://schemas.openxmlformats.org/officeDocument/2006/relationships/hyperlink" Target="https://library.mededtech.ru/rest/documents/KP287_3/#paragraph_8pu72h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KP287_3/#paragraph_5fb7hn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algost_25_spec5/" TargetMode="External"/><Relationship Id="rId27" Type="http://schemas.openxmlformats.org/officeDocument/2006/relationships/hyperlink" Target="https://library.mededtech.ru/rest/documents/algost_25_spec5/#list_item_fe8pt9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7_3/#list_item_q4gohc" TargetMode="External"/><Relationship Id="rId30" Type="http://schemas.openxmlformats.org/officeDocument/2006/relationships/hyperlink" Target="https://library.mededtech.ru/rest/documents/KP287_3/#paragraph_0iml5r" TargetMode="External"/><Relationship Id="rId31" Type="http://schemas.openxmlformats.org/officeDocument/2006/relationships/hyperlink" Target="https://library.mededtech.ru/rest/documents/algost_25_spec5/#table_3n94oi" TargetMode="External"/><Relationship Id="rId32" Type="http://schemas.openxmlformats.org/officeDocument/2006/relationships/hyperlink" Target="https://library.mededtech.ru/rest/documents/KP287_3/#paragraph_19o5v9" TargetMode="External"/><Relationship Id="rId33" Type="http://schemas.openxmlformats.org/officeDocument/2006/relationships/hyperlink" Target="https://library.mededtech.ru/rest/documents/KP287_3/#list_item_8gmlrb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KP287_3/#list_item_2q0c1g" TargetMode="External"/><Relationship Id="rId36" Type="http://schemas.openxmlformats.org/officeDocument/2006/relationships/hyperlink" Target="https://library.mededtech.ru/rest/documents/algost_25_spec5/#table_8fk1uu" TargetMode="External"/><Relationship Id="rId37" Type="http://schemas.openxmlformats.org/officeDocument/2006/relationships/hyperlink" Target="https://library.mededtech.ru/rest/documents/KP287_3/#list_item_umauma" TargetMode="External"/><Relationship Id="rId38" Type="http://schemas.openxmlformats.org/officeDocument/2006/relationships/hyperlink" Target="https://library.mededtech.ru/rest/documents/KP287_3/#list_item_4lgd5a" TargetMode="External"/><Relationship Id="rId39" Type="http://schemas.openxmlformats.org/officeDocument/2006/relationships/hyperlink" Target="https://library.mededtech.ru/rest/documents/algost_25_spec5/#list_item_cmqn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